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textAlignment w:val="baseline"/>
        <w:rPr>
          <w:rFonts w:ascii="微软雅黑" w:hAnsi="微软雅黑" w:eastAsia="微软雅黑" w:cs="微软雅黑"/>
          <w:b w:val="0"/>
          <w:bCs w:val="0"/>
          <w:i w:val="0"/>
          <w:iCs w:val="0"/>
          <w:caps w:val="0"/>
          <w:color w:val="333333"/>
          <w:spacing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vertAlign w:val="baseline"/>
        </w:rPr>
        <w:t>广东财经大学工商管理学院/粤商学院2023年工商管理硕士 研究生（MBA）招生调剂复试录取工作方案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textAlignment w:val="baseline"/>
        <w:rPr>
          <w:rFonts w:ascii="微软雅黑" w:hAnsi="微软雅黑" w:eastAsia="微软雅黑" w:cs="微软雅黑"/>
          <w:color w:val="000000"/>
          <w:sz w:val="14"/>
          <w:szCs w:val="14"/>
        </w:rPr>
      </w:pP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作者：</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办公室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信息来源：</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工商管理学院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发布日期：</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2023-04-05  </w:t>
      </w:r>
      <w:r>
        <w:rPr>
          <w:rFonts w:hint="eastAsia" w:ascii="微软雅黑" w:hAnsi="微软雅黑" w:eastAsia="微软雅黑" w:cs="微软雅黑"/>
          <w:i w:val="0"/>
          <w:iCs w:val="0"/>
          <w:caps w:val="0"/>
          <w:color w:val="2365A8"/>
          <w:spacing w:val="0"/>
          <w:sz w:val="14"/>
          <w:szCs w:val="14"/>
          <w:bdr w:val="none" w:color="auto" w:sz="0" w:space="0"/>
          <w:shd w:val="clear" w:fill="FFFFFF"/>
          <w:vertAlign w:val="baseline"/>
        </w:rPr>
        <w:t>浏览次数：</w:t>
      </w:r>
      <w:r>
        <w:rPr>
          <w:rFonts w:hint="eastAsia" w:ascii="微软雅黑" w:hAnsi="微软雅黑" w:eastAsia="微软雅黑" w:cs="微软雅黑"/>
          <w:i w:val="0"/>
          <w:iCs w:val="0"/>
          <w:caps w:val="0"/>
          <w:color w:val="000000"/>
          <w:spacing w:val="0"/>
          <w:sz w:val="14"/>
          <w:szCs w:val="14"/>
          <w:bdr w:val="none" w:color="auto" w:sz="0" w:space="0"/>
          <w:shd w:val="clear" w:fill="FFFFFF"/>
          <w:vertAlign w:val="baseline"/>
        </w:rPr>
        <w:t>1308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微软雅黑" w:hAnsi="微软雅黑" w:eastAsia="微软雅黑" w:cs="微软雅黑"/>
          <w:color w:val="302C30"/>
          <w:sz w:val="16"/>
          <w:szCs w:val="16"/>
        </w:rPr>
      </w:pPr>
      <w:r>
        <w:rPr>
          <w:rStyle w:val="6"/>
          <w:rFonts w:ascii="仿宋" w:hAnsi="仿宋" w:eastAsia="仿宋" w:cs="仿宋"/>
          <w:i w:val="0"/>
          <w:iCs w:val="0"/>
          <w:caps w:val="0"/>
          <w:color w:val="302C30"/>
          <w:spacing w:val="0"/>
          <w:sz w:val="25"/>
          <w:szCs w:val="25"/>
          <w:bdr w:val="none" w:color="auto" w:sz="0" w:space="0"/>
          <w:shd w:val="clear" w:fill="FFFFFF"/>
          <w:vertAlign w:val="baseline"/>
          <w:lang w:eastAsia="zh-CN"/>
        </w:rPr>
        <w:t>广东财经大学工商管理学院</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rPr>
        <w:t>/</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粤商学院</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rPr>
        <w:t>2023</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年工商管理硕士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研究生（</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rPr>
        <w:t>MBA</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）招生调剂复试录取工作方案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textAlignment w:val="baseline"/>
        <w:rPr>
          <w:rFonts w:hint="eastAsia" w:ascii="微软雅黑" w:hAnsi="微软雅黑" w:eastAsia="微软雅黑" w:cs="微软雅黑"/>
          <w:color w:val="302C3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为确保工商管理学院</w:t>
      </w: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粤商学院</w:t>
      </w:r>
      <w:r>
        <w:rPr>
          <w:rFonts w:hint="eastAsia" w:ascii="仿宋" w:hAnsi="仿宋" w:eastAsia="仿宋" w:cs="仿宋"/>
          <w:i w:val="0"/>
          <w:iCs w:val="0"/>
          <w:caps w:val="0"/>
          <w:color w:val="302C30"/>
          <w:spacing w:val="0"/>
          <w:sz w:val="21"/>
          <w:szCs w:val="21"/>
          <w:bdr w:val="none" w:color="auto" w:sz="0" w:space="0"/>
          <w:shd w:val="clear" w:fill="FFFFFF"/>
          <w:vertAlign w:val="baseline"/>
        </w:rPr>
        <w:t>2023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年工商管理硕士研究生（</w:t>
      </w:r>
      <w:r>
        <w:rPr>
          <w:rFonts w:hint="eastAsia" w:ascii="仿宋" w:hAnsi="仿宋" w:eastAsia="仿宋" w:cs="仿宋"/>
          <w:i w:val="0"/>
          <w:iCs w:val="0"/>
          <w:caps w:val="0"/>
          <w:color w:val="302C30"/>
          <w:spacing w:val="0"/>
          <w:sz w:val="21"/>
          <w:szCs w:val="21"/>
          <w:bdr w:val="none" w:color="auto" w:sz="0" w:space="0"/>
          <w:shd w:val="clear" w:fill="FFFFFF"/>
          <w:vertAlign w:val="baseline"/>
        </w:rPr>
        <w:t>MBA</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）调剂复试录取工作的顺利进行，在教育部相关政策文件的指导下，根据《广东财经大学</w:t>
      </w:r>
      <w:r>
        <w:rPr>
          <w:rFonts w:hint="eastAsia" w:ascii="仿宋" w:hAnsi="仿宋" w:eastAsia="仿宋" w:cs="仿宋"/>
          <w:i w:val="0"/>
          <w:iCs w:val="0"/>
          <w:caps w:val="0"/>
          <w:color w:val="302C30"/>
          <w:spacing w:val="0"/>
          <w:sz w:val="21"/>
          <w:szCs w:val="21"/>
          <w:bdr w:val="none" w:color="auto" w:sz="0" w:space="0"/>
          <w:shd w:val="clear" w:fill="FFFFFF"/>
          <w:vertAlign w:val="baseline"/>
        </w:rPr>
        <w:t>2023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年研究生招生复试录取工作方案》的要求，结合我院实际情况，特制定我院</w:t>
      </w:r>
      <w:r>
        <w:rPr>
          <w:rFonts w:hint="eastAsia" w:ascii="仿宋" w:hAnsi="仿宋" w:eastAsia="仿宋" w:cs="仿宋"/>
          <w:i w:val="0"/>
          <w:iCs w:val="0"/>
          <w:caps w:val="0"/>
          <w:color w:val="302C30"/>
          <w:spacing w:val="0"/>
          <w:sz w:val="21"/>
          <w:szCs w:val="21"/>
          <w:bdr w:val="none" w:color="auto" w:sz="0" w:space="0"/>
          <w:shd w:val="clear" w:fill="FFFFFF"/>
          <w:vertAlign w:val="baseline"/>
        </w:rPr>
        <w:t>2023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年工商管理硕士研究生（</w:t>
      </w:r>
      <w:r>
        <w:rPr>
          <w:rFonts w:hint="eastAsia" w:ascii="仿宋" w:hAnsi="仿宋" w:eastAsia="仿宋" w:cs="仿宋"/>
          <w:i w:val="0"/>
          <w:iCs w:val="0"/>
          <w:caps w:val="0"/>
          <w:color w:val="302C30"/>
          <w:spacing w:val="0"/>
          <w:sz w:val="21"/>
          <w:szCs w:val="21"/>
          <w:bdr w:val="none" w:color="auto" w:sz="0" w:space="0"/>
          <w:shd w:val="clear" w:fill="FFFFFF"/>
          <w:vertAlign w:val="baseline"/>
        </w:rPr>
        <w:t>MBA</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）调剂复试录取方案，具体如下：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一、</w:t>
      </w: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坚持科学选拔和公平、公正、公开的原则，对考生进行德、智、体全面衡量，择优选拔，按需招生，宁缺毋滥，确保招生质量。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二、复试对象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复试对象：</w:t>
      </w:r>
      <w:r>
        <w:rPr>
          <w:rFonts w:hint="eastAsia" w:ascii="仿宋" w:hAnsi="仿宋" w:eastAsia="仿宋" w:cs="仿宋"/>
          <w:i w:val="0"/>
          <w:iCs w:val="0"/>
          <w:caps w:val="0"/>
          <w:color w:val="302C30"/>
          <w:spacing w:val="0"/>
          <w:sz w:val="21"/>
          <w:szCs w:val="21"/>
          <w:bdr w:val="none" w:color="auto" w:sz="0" w:space="0"/>
          <w:shd w:val="clear" w:fill="FFFFFF"/>
          <w:vertAlign w:val="baseline"/>
        </w:rPr>
        <w:t>MBA</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非全日制调剂生。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教育部调剂系统</w:t>
      </w:r>
      <w:r>
        <w:rPr>
          <w:rFonts w:hint="eastAsia" w:ascii="仿宋" w:hAnsi="仿宋" w:eastAsia="仿宋" w:cs="仿宋"/>
          <w:i w:val="0"/>
          <w:iCs w:val="0"/>
          <w:caps w:val="0"/>
          <w:color w:val="302C30"/>
          <w:spacing w:val="0"/>
          <w:sz w:val="21"/>
          <w:szCs w:val="21"/>
          <w:bdr w:val="none" w:color="auto" w:sz="0" w:space="0"/>
          <w:shd w:val="clear" w:fill="FFFFFF"/>
          <w:vertAlign w:val="baseline"/>
        </w:rPr>
        <w:t>2023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w:t>
      </w:r>
      <w:r>
        <w:rPr>
          <w:rFonts w:hint="eastAsia" w:ascii="仿宋" w:hAnsi="仿宋" w:eastAsia="仿宋" w:cs="仿宋"/>
          <w:i w:val="0"/>
          <w:iCs w:val="0"/>
          <w:caps w:val="0"/>
          <w:color w:val="302C30"/>
          <w:spacing w:val="0"/>
          <w:sz w:val="21"/>
          <w:szCs w:val="21"/>
          <w:bdr w:val="none" w:color="auto" w:sz="0" w:space="0"/>
          <w:shd w:val="clear" w:fill="FFFFFF"/>
          <w:vertAlign w:val="baseline"/>
        </w:rPr>
        <w:t>4</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月</w:t>
      </w:r>
      <w:r>
        <w:rPr>
          <w:rFonts w:hint="eastAsia" w:ascii="仿宋" w:hAnsi="仿宋" w:eastAsia="仿宋" w:cs="仿宋"/>
          <w:i w:val="0"/>
          <w:iCs w:val="0"/>
          <w:caps w:val="0"/>
          <w:color w:val="302C30"/>
          <w:spacing w:val="0"/>
          <w:sz w:val="21"/>
          <w:szCs w:val="21"/>
          <w:bdr w:val="none" w:color="auto" w:sz="0" w:space="0"/>
          <w:shd w:val="clear" w:fill="FFFFFF"/>
          <w:vertAlign w:val="baseline"/>
        </w:rPr>
        <w:t>6</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日正式开通，符合调剂条件的考生届时可登录全国硕士研究生招生“调剂服务系统”（</w:t>
      </w:r>
      <w:r>
        <w:rPr>
          <w:rFonts w:hint="eastAsia" w:ascii="仿宋" w:hAnsi="仿宋" w:eastAsia="仿宋" w:cs="仿宋"/>
          <w:i w:val="0"/>
          <w:iCs w:val="0"/>
          <w:caps w:val="0"/>
          <w:color w:val="302C30"/>
          <w:spacing w:val="0"/>
          <w:sz w:val="21"/>
          <w:szCs w:val="21"/>
          <w:bdr w:val="none" w:color="auto" w:sz="0" w:space="0"/>
          <w:shd w:val="clear" w:fill="FFFFFF"/>
          <w:vertAlign w:val="baseline"/>
        </w:rPr>
        <w:t>https://yz.chsi.com.cn/yztj/</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2.复试比例：按照不低于1:1.2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的比例从初试高分到低分选取调剂生开展调剂复试工作。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三、复试形式和复试时间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复试形式：线下复试。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复试地点：广州校区教学楼（具体课室安排以学院发布的信息为准）。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3.复试时间：2023年4月8</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日上午</w:t>
      </w:r>
      <w:r>
        <w:rPr>
          <w:rFonts w:hint="eastAsia" w:ascii="仿宋" w:hAnsi="仿宋" w:eastAsia="仿宋" w:cs="仿宋"/>
          <w:i w:val="0"/>
          <w:iCs w:val="0"/>
          <w:caps w:val="0"/>
          <w:color w:val="302C30"/>
          <w:spacing w:val="0"/>
          <w:sz w:val="21"/>
          <w:szCs w:val="21"/>
          <w:bdr w:val="none" w:color="auto" w:sz="0" w:space="0"/>
          <w:shd w:val="clear" w:fill="FFFFFF"/>
          <w:vertAlign w:val="baseline"/>
        </w:rPr>
        <w:t>9:00-12:00。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四、复试内容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政治面试（</w:t>
      </w:r>
      <w:r>
        <w:rPr>
          <w:rFonts w:hint="eastAsia" w:ascii="仿宋" w:hAnsi="仿宋" w:eastAsia="仿宋" w:cs="仿宋"/>
          <w:i w:val="0"/>
          <w:iCs w:val="0"/>
          <w:caps w:val="0"/>
          <w:color w:val="302C30"/>
          <w:spacing w:val="0"/>
          <w:sz w:val="21"/>
          <w:szCs w:val="21"/>
          <w:bdr w:val="none" w:color="auto" w:sz="0" w:space="0"/>
          <w:shd w:val="clear" w:fill="FFFFFF"/>
          <w:vertAlign w:val="baseline"/>
        </w:rPr>
        <w:t>100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思想政治理论考试在复试中进行，成绩要求及格。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专业与情景化面试（</w:t>
      </w:r>
      <w:r>
        <w:rPr>
          <w:rFonts w:hint="eastAsia" w:ascii="仿宋" w:hAnsi="仿宋" w:eastAsia="仿宋" w:cs="仿宋"/>
          <w:i w:val="0"/>
          <w:iCs w:val="0"/>
          <w:caps w:val="0"/>
          <w:color w:val="302C30"/>
          <w:spacing w:val="0"/>
          <w:sz w:val="21"/>
          <w:szCs w:val="21"/>
          <w:bdr w:val="none" w:color="auto" w:sz="0" w:space="0"/>
          <w:shd w:val="clear" w:fill="FFFFFF"/>
          <w:vertAlign w:val="baseline"/>
        </w:rPr>
        <w:t>200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专业与情景化面试重点考查考生的知识结构、科研能力、表达能力、外语听说能力等与本专业研究生培养有关的能力，其中外语口语与听力测试内容分值为</w:t>
      </w:r>
      <w:r>
        <w:rPr>
          <w:rFonts w:hint="eastAsia" w:ascii="仿宋" w:hAnsi="仿宋" w:eastAsia="仿宋" w:cs="仿宋"/>
          <w:i w:val="0"/>
          <w:iCs w:val="0"/>
          <w:caps w:val="0"/>
          <w:color w:val="302C30"/>
          <w:spacing w:val="0"/>
          <w:sz w:val="21"/>
          <w:szCs w:val="21"/>
          <w:bdr w:val="none" w:color="auto" w:sz="0" w:space="0"/>
          <w:shd w:val="clear" w:fill="FFFFFF"/>
          <w:vertAlign w:val="baseline"/>
        </w:rPr>
        <w:t>50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无领导小组面试（</w:t>
      </w:r>
      <w:r>
        <w:rPr>
          <w:rFonts w:hint="eastAsia" w:ascii="仿宋" w:hAnsi="仿宋" w:eastAsia="仿宋" w:cs="仿宋"/>
          <w:i w:val="0"/>
          <w:iCs w:val="0"/>
          <w:caps w:val="0"/>
          <w:color w:val="302C30"/>
          <w:spacing w:val="0"/>
          <w:sz w:val="21"/>
          <w:szCs w:val="21"/>
          <w:bdr w:val="none" w:color="auto" w:sz="0" w:space="0"/>
          <w:shd w:val="clear" w:fill="FFFFFF"/>
          <w:vertAlign w:val="baseline"/>
        </w:rPr>
        <w:t>100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每组考生从复试试题中抽取题目，在规定时间内完成。考查考生的应急处理能力、逻辑分析能力、判断决策能力、语言表达能力、语言概括能力、仪表举止行为、沟通交往能力、组织协调能力、创业精神与创新意识、价值取向和职业道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4.加分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参加“大学生志愿服务西部计划”“三支一扶计划”“农村义务教育阶段学校教师特设岗位计划”“赴外汉语教师志愿者”等项目服务期满、考核合格的考生，</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年内参加全国硕士研究生招生考试的，初试总分加</w:t>
      </w:r>
      <w:r>
        <w:rPr>
          <w:rFonts w:hint="eastAsia" w:ascii="仿宋" w:hAnsi="仿宋" w:eastAsia="仿宋" w:cs="仿宋"/>
          <w:i w:val="0"/>
          <w:iCs w:val="0"/>
          <w:caps w:val="0"/>
          <w:color w:val="302C30"/>
          <w:spacing w:val="0"/>
          <w:sz w:val="21"/>
          <w:szCs w:val="21"/>
          <w:bdr w:val="none" w:color="auto" w:sz="0" w:space="0"/>
          <w:shd w:val="clear" w:fill="FFFFFF"/>
          <w:vertAlign w:val="baseline"/>
        </w:rPr>
        <w:t>10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高校学生应征入伍服现役退役，达到报考条件后，</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年内参加全国硕士研究生招生考试的考生，初试总分加</w:t>
      </w:r>
      <w:r>
        <w:rPr>
          <w:rFonts w:hint="eastAsia" w:ascii="仿宋" w:hAnsi="仿宋" w:eastAsia="仿宋" w:cs="仿宋"/>
          <w:i w:val="0"/>
          <w:iCs w:val="0"/>
          <w:caps w:val="0"/>
          <w:color w:val="302C30"/>
          <w:spacing w:val="0"/>
          <w:sz w:val="21"/>
          <w:szCs w:val="21"/>
          <w:bdr w:val="none" w:color="auto" w:sz="0" w:space="0"/>
          <w:shd w:val="clear" w:fill="FFFFFF"/>
          <w:vertAlign w:val="baseline"/>
        </w:rPr>
        <w:t>10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分，同等条件下优先录取。纳入“退役大学生士兵”专项计划招录的，不再享受退役大学生士兵初试加分政策。在部队荣立二等功以上，符合全国硕士研究生招生考试报考条件的，可申请免初试攻读硕士研究生。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参加“选聘高校毕业生到村任职”项目服务期满、考核称职以上的考生，</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年内参加全国硕士研究生招生考试的，初试总分加</w:t>
      </w:r>
      <w:r>
        <w:rPr>
          <w:rFonts w:hint="eastAsia" w:ascii="仿宋" w:hAnsi="仿宋" w:eastAsia="仿宋" w:cs="仿宋"/>
          <w:i w:val="0"/>
          <w:iCs w:val="0"/>
          <w:caps w:val="0"/>
          <w:color w:val="302C30"/>
          <w:spacing w:val="0"/>
          <w:sz w:val="21"/>
          <w:szCs w:val="21"/>
          <w:bdr w:val="none" w:color="auto" w:sz="0" w:space="0"/>
          <w:shd w:val="clear" w:fill="FFFFFF"/>
          <w:vertAlign w:val="baseline"/>
        </w:rPr>
        <w:t>10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分，同等条件下优先录取，其中报考人文社科类专业研究生的，初试总分加</w:t>
      </w:r>
      <w:r>
        <w:rPr>
          <w:rFonts w:hint="eastAsia" w:ascii="仿宋" w:hAnsi="仿宋" w:eastAsia="仿宋" w:cs="仿宋"/>
          <w:i w:val="0"/>
          <w:iCs w:val="0"/>
          <w:caps w:val="0"/>
          <w:color w:val="302C30"/>
          <w:spacing w:val="0"/>
          <w:sz w:val="21"/>
          <w:szCs w:val="21"/>
          <w:bdr w:val="none" w:color="auto" w:sz="0" w:space="0"/>
          <w:shd w:val="clear" w:fill="FFFFFF"/>
          <w:vertAlign w:val="baseline"/>
        </w:rPr>
        <w:t>15</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加分项目不累计，同时满足两项以上加分条件的考生按最高项加分。招生学院应对加分项目考生提供的相关证明材料进行认真核实。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000000"/>
          <w:spacing w:val="0"/>
          <w:sz w:val="25"/>
          <w:szCs w:val="25"/>
          <w:bdr w:val="none" w:color="auto" w:sz="0" w:space="0"/>
          <w:shd w:val="clear" w:fill="FFFFFF"/>
          <w:vertAlign w:val="baseline"/>
          <w:lang w:eastAsia="zh-CN"/>
        </w:rPr>
        <w:t>五、复试组织与安排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00000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rPr>
        <w:t>考生报到、提交复试资料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考生于参加复试前提交以下资料：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）有效期内的身份证正反面复印件一份。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）准考证复印件一份。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）学历学位证明材料：须提交有效期内的教育部学历证书电子注册备案表电子文件及学历学位证书复印件一份、加盖公章的本科阶段成绩单复印件一份。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4</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）个人简历一式五份。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jc w:val="lef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5</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）其他相关材料：退役大学生士兵入伍批准书和退出现役证的扫描件</w:t>
      </w:r>
      <w:r>
        <w:rPr>
          <w:rFonts w:hint="eastAsia" w:ascii="仿宋" w:hAnsi="仿宋" w:eastAsia="仿宋" w:cs="仿宋"/>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照片等。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）考生进行政治面试。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）考生进行英语和专业与情景化面试。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）无领导小组案例讨论。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六、复试评分与录取工作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（1）复试成绩=专业与情景化面试成绩（含英语口语与听力测试）+ </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无领导小组讨论成绩</w:t>
      </w:r>
      <w:r>
        <w:rPr>
          <w:rFonts w:hint="eastAsia" w:ascii="仿宋" w:hAnsi="仿宋" w:eastAsia="仿宋" w:cs="仿宋"/>
          <w:i w:val="0"/>
          <w:iCs w:val="0"/>
          <w:caps w:val="0"/>
          <w:color w:val="333333"/>
          <w:spacing w:val="0"/>
          <w:sz w:val="21"/>
          <w:szCs w:val="21"/>
          <w:bdr w:val="none" w:color="auto" w:sz="0" w:space="0"/>
          <w:shd w:val="clear" w:fill="FFFFFF"/>
          <w:vertAlign w:val="baseline"/>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（2）总成绩=初试成绩/3*5+复试成绩。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）复试中各科和总成绩均采取四舍五入，保留小数点后一位数字的方式计分。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）按先考生类别、后考生总成绩排名原则择优录取。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类别依次为：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微软雅黑" w:hAnsi="微软雅黑" w:eastAsia="微软雅黑" w:cs="微软雅黑"/>
          <w:i w:val="0"/>
          <w:iCs w:val="0"/>
          <w:caps w:val="0"/>
          <w:color w:val="302C30"/>
          <w:spacing w:val="0"/>
          <w:sz w:val="16"/>
          <w:szCs w:val="16"/>
          <w:bdr w:val="none" w:color="auto" w:sz="0" w:space="0"/>
          <w:shd w:val="clear" w:fill="FFFFFF"/>
          <w:vertAlign w:val="baseline"/>
        </w:rPr>
        <w:t> ①</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微软雅黑" w:hAnsi="微软雅黑" w:eastAsia="微软雅黑" w:cs="微软雅黑"/>
          <w:i w:val="0"/>
          <w:iCs w:val="0"/>
          <w:caps w:val="0"/>
          <w:color w:val="302C30"/>
          <w:spacing w:val="0"/>
          <w:sz w:val="16"/>
          <w:szCs w:val="16"/>
          <w:bdr w:val="none" w:color="auto" w:sz="0" w:space="0"/>
          <w:shd w:val="clear" w:fill="FFFFFF"/>
          <w:vertAlign w:val="baseline"/>
        </w:rPr>
        <w:t> ②</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破格复试考生。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总成绩相同的，优先录取复试成绩高分者；总成绩、复试成绩均相同者，优先录取专业情景化面试成绩高分者。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）复试合格生源不足时方予考虑录取破格复试考生。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）复试原始总分不足</w:t>
      </w:r>
      <w:r>
        <w:rPr>
          <w:rFonts w:hint="eastAsia" w:ascii="仿宋" w:hAnsi="仿宋" w:eastAsia="仿宋" w:cs="仿宋"/>
          <w:i w:val="0"/>
          <w:iCs w:val="0"/>
          <w:caps w:val="0"/>
          <w:color w:val="302C30"/>
          <w:spacing w:val="0"/>
          <w:sz w:val="21"/>
          <w:szCs w:val="21"/>
          <w:bdr w:val="none" w:color="auto" w:sz="0" w:space="0"/>
          <w:shd w:val="clear" w:fill="FFFFFF"/>
          <w:vertAlign w:val="baseline"/>
        </w:rPr>
        <w:t>180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分（破格复试考生不足</w:t>
      </w:r>
      <w:r>
        <w:rPr>
          <w:rFonts w:hint="eastAsia" w:ascii="仿宋" w:hAnsi="仿宋" w:eastAsia="仿宋" w:cs="仿宋"/>
          <w:i w:val="0"/>
          <w:iCs w:val="0"/>
          <w:caps w:val="0"/>
          <w:color w:val="302C30"/>
          <w:spacing w:val="0"/>
          <w:sz w:val="21"/>
          <w:szCs w:val="21"/>
          <w:bdr w:val="none" w:color="auto" w:sz="0" w:space="0"/>
          <w:shd w:val="clear" w:fill="FFFFFF"/>
          <w:vertAlign w:val="baseline"/>
        </w:rPr>
        <w:t>240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分）、考试违纪者、资格审查不合格、政审不合格、体检不合格者、加试不合格者无论最终复试成绩高低，一律不予录取。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所有拟录取考生均须参加身体健康检查，在规定时间前向招生学院提交二级甲等医院的体检报告。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体检标准参照教育部、原卫生部、中国残联印发的《普通高等学校招生体检工作指导意见》（教学〔</w:t>
      </w:r>
      <w:r>
        <w:rPr>
          <w:rFonts w:hint="eastAsia" w:ascii="仿宋" w:hAnsi="仿宋" w:eastAsia="仿宋" w:cs="仿宋"/>
          <w:i w:val="0"/>
          <w:iCs w:val="0"/>
          <w:caps w:val="0"/>
          <w:color w:val="302C30"/>
          <w:spacing w:val="0"/>
          <w:sz w:val="21"/>
          <w:szCs w:val="21"/>
          <w:bdr w:val="none" w:color="auto" w:sz="0" w:space="0"/>
          <w:shd w:val="clear" w:fill="FFFFFF"/>
          <w:vertAlign w:val="baseline"/>
        </w:rPr>
        <w:t>2003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号）要求，按照《教育部办公厅 卫生部办公厅关于普通高等学校招生学生入学身体检查取消乙肝项目检测有关问题的通知》（教学厅〔</w:t>
      </w:r>
      <w:r>
        <w:rPr>
          <w:rFonts w:hint="eastAsia" w:ascii="仿宋" w:hAnsi="仿宋" w:eastAsia="仿宋" w:cs="仿宋"/>
          <w:i w:val="0"/>
          <w:iCs w:val="0"/>
          <w:caps w:val="0"/>
          <w:color w:val="302C30"/>
          <w:spacing w:val="0"/>
          <w:sz w:val="21"/>
          <w:szCs w:val="21"/>
          <w:bdr w:val="none" w:color="auto" w:sz="0" w:space="0"/>
          <w:shd w:val="clear" w:fill="FFFFFF"/>
          <w:vertAlign w:val="baseline"/>
        </w:rPr>
        <w:t>2010</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w:t>
      </w: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八、录取资格审核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我院严格审核拟录取考生材料，审核不通过的考生不予正式录取。我院提交拟录取硕士研究生资格审核报告，作为正式录取的依据。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九、公示与争议处置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1.</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拟录取考生名单在复试结束后在招生考试处网站上对外公示，接受考生及社会各界的监督检查。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2.</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考生如对复试录取结果有异议，需在相关公告公布后</w:t>
      </w:r>
      <w:r>
        <w:rPr>
          <w:rFonts w:hint="eastAsia" w:ascii="仿宋" w:hAnsi="仿宋" w:eastAsia="仿宋" w:cs="仿宋"/>
          <w:i w:val="0"/>
          <w:iCs w:val="0"/>
          <w:caps w:val="0"/>
          <w:color w:val="302C30"/>
          <w:spacing w:val="0"/>
          <w:sz w:val="21"/>
          <w:szCs w:val="21"/>
          <w:bdr w:val="none" w:color="auto" w:sz="0" w:space="0"/>
          <w:shd w:val="clear" w:fill="FFFFFF"/>
          <w:vertAlign w:val="baseline"/>
        </w:rPr>
        <w:t>2个工作日内提出书面复核申请。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3.</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投诉和监督举报电话：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020-84096714</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（招生考试处）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rPr>
        <w:t>020-84261169</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（学校纪检监察室）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648"/>
        <w:textAlignment w:val="baseline"/>
        <w:rPr>
          <w:rFonts w:hint="eastAsia" w:ascii="微软雅黑" w:hAnsi="微软雅黑" w:eastAsia="微软雅黑" w:cs="微软雅黑"/>
          <w:color w:val="302C30"/>
          <w:sz w:val="16"/>
          <w:szCs w:val="16"/>
        </w:rPr>
      </w:pPr>
      <w:r>
        <w:rPr>
          <w:rStyle w:val="6"/>
          <w:rFonts w:hint="eastAsia" w:ascii="仿宋" w:hAnsi="仿宋" w:eastAsia="仿宋" w:cs="仿宋"/>
          <w:i w:val="0"/>
          <w:iCs w:val="0"/>
          <w:caps w:val="0"/>
          <w:color w:val="302C30"/>
          <w:spacing w:val="0"/>
          <w:sz w:val="25"/>
          <w:szCs w:val="25"/>
          <w:bdr w:val="none" w:color="auto" w:sz="0" w:space="0"/>
          <w:shd w:val="clear" w:fill="FFFFFF"/>
          <w:vertAlign w:val="baseline"/>
          <w:lang w:eastAsia="zh-CN"/>
        </w:rPr>
        <w:t>十、</w:t>
      </w:r>
      <w:r>
        <w:rPr>
          <w:rStyle w:val="6"/>
          <w:rFonts w:hint="eastAsia" w:ascii="仿宋" w:hAnsi="仿宋" w:eastAsia="仿宋" w:cs="仿宋"/>
          <w:i w:val="0"/>
          <w:iCs w:val="0"/>
          <w:caps w:val="0"/>
          <w:color w:val="333333"/>
          <w:spacing w:val="0"/>
          <w:sz w:val="25"/>
          <w:szCs w:val="25"/>
          <w:bdr w:val="none" w:color="auto" w:sz="0" w:space="0"/>
          <w:shd w:val="clear" w:fill="FFFFFF"/>
          <w:vertAlign w:val="baseline"/>
          <w:lang w:eastAsia="zh-CN"/>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ascii="Times New Roman" w:hAnsi="Times New Roman" w:eastAsia="微软雅黑" w:cs="Times New Roman"/>
          <w:i w:val="0"/>
          <w:iCs w:val="0"/>
          <w:caps w:val="0"/>
          <w:color w:val="333333"/>
          <w:spacing w:val="0"/>
          <w:sz w:val="21"/>
          <w:szCs w:val="21"/>
          <w:bdr w:val="none" w:color="auto" w:sz="0" w:space="0"/>
          <w:shd w:val="clear" w:fill="FFFFFF"/>
          <w:vertAlign w:val="baseline"/>
        </w:rPr>
        <w:t>1.</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 </w:t>
      </w:r>
      <w:r>
        <w:rPr>
          <w:rFonts w:hint="eastAsia" w:ascii="仿宋" w:hAnsi="仿宋" w:eastAsia="仿宋" w:cs="仿宋"/>
          <w:i w:val="0"/>
          <w:iCs w:val="0"/>
          <w:caps w:val="0"/>
          <w:color w:val="333333"/>
          <w:spacing w:val="0"/>
          <w:sz w:val="21"/>
          <w:szCs w:val="21"/>
          <w:bdr w:val="none" w:color="auto" w:sz="0" w:space="0"/>
          <w:shd w:val="clear" w:fill="FFFFFF"/>
          <w:vertAlign w:val="baseline"/>
        </w:rPr>
        <w:t>联系人：杜老师、钟老师、李老师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2.</w:t>
      </w:r>
      <w:r>
        <w:rPr>
          <w:rFonts w:hint="eastAsia" w:ascii="仿宋" w:hAnsi="仿宋" w:eastAsia="仿宋" w:cs="仿宋"/>
          <w:i w:val="0"/>
          <w:iCs w:val="0"/>
          <w:caps w:val="0"/>
          <w:color w:val="333333"/>
          <w:spacing w:val="0"/>
          <w:sz w:val="21"/>
          <w:szCs w:val="21"/>
          <w:bdr w:val="none" w:color="auto" w:sz="0" w:space="0"/>
          <w:shd w:val="clear" w:fill="FFFFFF"/>
          <w:vertAlign w:val="baseline"/>
        </w:rPr>
        <w:t>联系电话：</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020-84095147</w:t>
      </w:r>
      <w:r>
        <w:rPr>
          <w:rFonts w:hint="eastAsia" w:ascii="仿宋" w:hAnsi="仿宋" w:eastAsia="仿宋" w:cs="仿宋"/>
          <w:i w:val="0"/>
          <w:iCs w:val="0"/>
          <w:caps w:val="0"/>
          <w:color w:val="333333"/>
          <w:spacing w:val="0"/>
          <w:sz w:val="21"/>
          <w:szCs w:val="21"/>
          <w:bdr w:val="none" w:color="auto" w:sz="0" w:space="0"/>
          <w:shd w:val="clear" w:fill="FFFFFF"/>
          <w:vertAlign w:val="baseline"/>
        </w:rPr>
        <w:t>；</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020-84095128</w:t>
      </w:r>
      <w:r>
        <w:rPr>
          <w:rFonts w:hint="eastAsia" w:ascii="仿宋" w:hAnsi="仿宋" w:eastAsia="仿宋" w:cs="仿宋"/>
          <w:i w:val="0"/>
          <w:iCs w:val="0"/>
          <w:caps w:val="0"/>
          <w:color w:val="333333"/>
          <w:spacing w:val="0"/>
          <w:sz w:val="21"/>
          <w:szCs w:val="21"/>
          <w:bdr w:val="none" w:color="auto" w:sz="0" w:space="0"/>
          <w:shd w:val="clear" w:fill="FFFFFF"/>
          <w:vertAlign w:val="baseline"/>
        </w:rPr>
        <w:t>；</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18613009289</w:t>
      </w:r>
      <w:r>
        <w:rPr>
          <w:rFonts w:hint="eastAsia" w:ascii="仿宋" w:hAnsi="仿宋" w:eastAsia="仿宋" w:cs="仿宋"/>
          <w:i w:val="0"/>
          <w:iCs w:val="0"/>
          <w:caps w:val="0"/>
          <w:color w:val="333333"/>
          <w:spacing w:val="0"/>
          <w:sz w:val="21"/>
          <w:szCs w:val="21"/>
          <w:bdr w:val="none" w:color="auto" w:sz="0" w:space="0"/>
          <w:shd w:val="clear" w:fill="FFFFFF"/>
          <w:vertAlign w:val="baseline"/>
        </w:rPr>
        <w:t>；</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15817151705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3.</w:t>
      </w:r>
      <w:r>
        <w:rPr>
          <w:rFonts w:hint="eastAsia" w:ascii="仿宋" w:hAnsi="仿宋" w:eastAsia="仿宋" w:cs="仿宋"/>
          <w:i w:val="0"/>
          <w:iCs w:val="0"/>
          <w:caps w:val="0"/>
          <w:color w:val="333333"/>
          <w:spacing w:val="0"/>
          <w:sz w:val="21"/>
          <w:szCs w:val="21"/>
          <w:bdr w:val="none" w:color="auto" w:sz="0" w:space="0"/>
          <w:shd w:val="clear" w:fill="FFFFFF"/>
          <w:vertAlign w:val="baseline"/>
        </w:rPr>
        <w:t>联系邮箱：</w:t>
      </w:r>
      <w:r>
        <w:rPr>
          <w:rFonts w:hint="default" w:ascii="Times New Roman" w:hAnsi="Times New Roman" w:eastAsia="微软雅黑" w:cs="Times New Roman"/>
          <w:i w:val="0"/>
          <w:iCs w:val="0"/>
          <w:caps w:val="0"/>
          <w:color w:val="333333"/>
          <w:spacing w:val="0"/>
          <w:sz w:val="21"/>
          <w:szCs w:val="21"/>
          <w:bdr w:val="none" w:color="auto" w:sz="0" w:space="0"/>
          <w:shd w:val="clear" w:fill="FFFFFF"/>
          <w:vertAlign w:val="baseline"/>
        </w:rPr>
        <w:t>mba@gdufe.edu.cn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562"/>
        <w:textAlignment w:val="baseline"/>
        <w:rPr>
          <w:rFonts w:hint="eastAsia" w:ascii="微软雅黑" w:hAnsi="微软雅黑" w:eastAsia="微软雅黑" w:cs="微软雅黑"/>
          <w:color w:val="302C3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right"/>
        <w:textAlignment w:val="baseline"/>
        <w:rPr>
          <w:rFonts w:hint="eastAsia" w:ascii="微软雅黑" w:hAnsi="微软雅黑" w:eastAsia="微软雅黑" w:cs="微软雅黑"/>
          <w:color w:val="302C30"/>
          <w:sz w:val="16"/>
          <w:szCs w:val="16"/>
        </w:rPr>
      </w:pP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广东财经大学工商管理学院</w:t>
      </w:r>
      <w:r>
        <w:rPr>
          <w:rFonts w:hint="default" w:ascii="Times New Roman" w:hAnsi="Times New Roman" w:eastAsia="微软雅黑" w:cs="Times New Roman"/>
          <w:i w:val="0"/>
          <w:iCs w:val="0"/>
          <w:caps w:val="0"/>
          <w:color w:val="302C30"/>
          <w:spacing w:val="0"/>
          <w:sz w:val="21"/>
          <w:szCs w:val="21"/>
          <w:bdr w:val="none" w:color="auto" w:sz="0" w:space="0"/>
          <w:shd w:val="clear" w:fill="FFFFFF"/>
          <w:vertAlign w:val="baseline"/>
        </w:rPr>
        <w:t>/</w:t>
      </w:r>
      <w:r>
        <w:rPr>
          <w:rFonts w:hint="eastAsia" w:ascii="仿宋" w:hAnsi="仿宋" w:eastAsia="仿宋" w:cs="仿宋"/>
          <w:i w:val="0"/>
          <w:iCs w:val="0"/>
          <w:caps w:val="0"/>
          <w:color w:val="302C30"/>
          <w:spacing w:val="0"/>
          <w:sz w:val="21"/>
          <w:szCs w:val="21"/>
          <w:bdr w:val="none" w:color="auto" w:sz="0" w:space="0"/>
          <w:shd w:val="clear" w:fill="FFFFFF"/>
          <w:vertAlign w:val="baseline"/>
          <w:lang w:eastAsia="zh-CN"/>
        </w:rPr>
        <w:t>粤商学院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right"/>
        <w:textAlignment w:val="baseline"/>
        <w:rPr>
          <w:rFonts w:hint="eastAsia" w:ascii="微软雅黑" w:hAnsi="微软雅黑" w:eastAsia="微软雅黑" w:cs="微软雅黑"/>
          <w:color w:val="302C30"/>
          <w:sz w:val="16"/>
          <w:szCs w:val="16"/>
        </w:rPr>
      </w:pPr>
      <w:r>
        <w:rPr>
          <w:rFonts w:hint="default" w:ascii="Times New Roman" w:hAnsi="Times New Roman" w:eastAsia="微软雅黑" w:cs="Times New Roman"/>
          <w:i w:val="0"/>
          <w:iCs w:val="0"/>
          <w:caps w:val="0"/>
          <w:color w:val="302C30"/>
          <w:spacing w:val="0"/>
          <w:sz w:val="21"/>
          <w:szCs w:val="21"/>
          <w:bdr w:val="none" w:color="auto" w:sz="0" w:space="0"/>
          <w:shd w:val="clear" w:fill="FFFFFF"/>
          <w:vertAlign w:val="baseline"/>
        </w:rPr>
        <w:t>MBA</w:t>
      </w:r>
      <w:r>
        <w:rPr>
          <w:rFonts w:hint="eastAsia" w:ascii="仿宋" w:hAnsi="仿宋" w:eastAsia="仿宋" w:cs="仿宋"/>
          <w:i w:val="0"/>
          <w:iCs w:val="0"/>
          <w:caps w:val="0"/>
          <w:color w:val="302C30"/>
          <w:spacing w:val="0"/>
          <w:sz w:val="21"/>
          <w:szCs w:val="21"/>
          <w:bdr w:val="none" w:color="auto" w:sz="0" w:space="0"/>
          <w:shd w:val="clear" w:fill="FFFFFF"/>
          <w:vertAlign w:val="baseline"/>
        </w:rPr>
        <w:t>教育中心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right"/>
        <w:textAlignment w:val="baseline"/>
        <w:rPr>
          <w:rFonts w:hint="eastAsia" w:ascii="微软雅黑" w:hAnsi="微软雅黑" w:eastAsia="微软雅黑" w:cs="微软雅黑"/>
          <w:color w:val="302C30"/>
          <w:sz w:val="16"/>
          <w:szCs w:val="16"/>
        </w:rPr>
      </w:pPr>
      <w:r>
        <w:rPr>
          <w:rFonts w:hint="default" w:ascii="Times New Roman" w:hAnsi="Times New Roman" w:eastAsia="微软雅黑" w:cs="Times New Roman"/>
          <w:i w:val="0"/>
          <w:iCs w:val="0"/>
          <w:caps w:val="0"/>
          <w:color w:val="302C30"/>
          <w:spacing w:val="0"/>
          <w:sz w:val="21"/>
          <w:szCs w:val="21"/>
          <w:bdr w:val="none" w:color="auto" w:sz="0" w:space="0"/>
          <w:shd w:val="clear" w:fill="FFFFFF"/>
          <w:vertAlign w:val="baseline"/>
        </w:rPr>
        <w:t>2023</w:t>
      </w:r>
      <w:r>
        <w:rPr>
          <w:rFonts w:hint="eastAsia" w:ascii="仿宋" w:hAnsi="仿宋" w:eastAsia="仿宋" w:cs="仿宋"/>
          <w:i w:val="0"/>
          <w:iCs w:val="0"/>
          <w:caps w:val="0"/>
          <w:color w:val="302C30"/>
          <w:spacing w:val="0"/>
          <w:sz w:val="21"/>
          <w:szCs w:val="21"/>
          <w:bdr w:val="none" w:color="auto" w:sz="0" w:space="0"/>
          <w:shd w:val="clear" w:fill="FFFFFF"/>
          <w:vertAlign w:val="baseline"/>
        </w:rPr>
        <w:t>年</w:t>
      </w:r>
      <w:r>
        <w:rPr>
          <w:rFonts w:hint="default" w:ascii="Times New Roman" w:hAnsi="Times New Roman" w:eastAsia="微软雅黑" w:cs="Times New Roman"/>
          <w:i w:val="0"/>
          <w:iCs w:val="0"/>
          <w:caps w:val="0"/>
          <w:color w:val="302C30"/>
          <w:spacing w:val="0"/>
          <w:sz w:val="21"/>
          <w:szCs w:val="21"/>
          <w:bdr w:val="none" w:color="auto" w:sz="0" w:space="0"/>
          <w:shd w:val="clear" w:fill="FFFFFF"/>
          <w:vertAlign w:val="baseline"/>
        </w:rPr>
        <w:t>4</w:t>
      </w:r>
      <w:r>
        <w:rPr>
          <w:rFonts w:hint="eastAsia" w:ascii="仿宋" w:hAnsi="仿宋" w:eastAsia="仿宋" w:cs="仿宋"/>
          <w:i w:val="0"/>
          <w:iCs w:val="0"/>
          <w:caps w:val="0"/>
          <w:color w:val="302C30"/>
          <w:spacing w:val="0"/>
          <w:sz w:val="21"/>
          <w:szCs w:val="21"/>
          <w:bdr w:val="none" w:color="auto" w:sz="0" w:space="0"/>
          <w:shd w:val="clear" w:fill="FFFFFF"/>
          <w:vertAlign w:val="baseline"/>
        </w:rPr>
        <w:t>月</w:t>
      </w:r>
      <w:r>
        <w:rPr>
          <w:rFonts w:hint="default" w:ascii="Times New Roman" w:hAnsi="Times New Roman" w:eastAsia="微软雅黑" w:cs="Times New Roman"/>
          <w:i w:val="0"/>
          <w:iCs w:val="0"/>
          <w:caps w:val="0"/>
          <w:color w:val="302C30"/>
          <w:spacing w:val="0"/>
          <w:sz w:val="21"/>
          <w:szCs w:val="21"/>
          <w:bdr w:val="none" w:color="auto" w:sz="0" w:space="0"/>
          <w:shd w:val="clear" w:fill="FFFFFF"/>
          <w:vertAlign w:val="baseline"/>
          <w:lang w:val="en-US"/>
        </w:rPr>
        <w:t>5</w:t>
      </w:r>
      <w:r>
        <w:rPr>
          <w:rFonts w:hint="eastAsia" w:ascii="仿宋" w:hAnsi="仿宋" w:eastAsia="仿宋" w:cs="仿宋"/>
          <w:i w:val="0"/>
          <w:iCs w:val="0"/>
          <w:caps w:val="0"/>
          <w:color w:val="302C30"/>
          <w:spacing w:val="0"/>
          <w:sz w:val="21"/>
          <w:szCs w:val="21"/>
          <w:bdr w:val="none" w:color="auto" w:sz="0" w:space="0"/>
          <w:shd w:val="clear" w:fill="FFFFFF"/>
          <w:vertAlign w:val="baseline"/>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C325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2023-04-18T03:09:25Z</dcterms:created>
  <dc:creator>DELL</dc:creator>
  <cp:lastModifiedBy>曾经的那个老吴</cp:lastModifiedBy>
  <dcterms:modified xsi:type="dcterms:W3CDTF">2023-04-18T03:09:26Z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DDD25D44D3EC4E8BB43CB4EDEE773F0E_12</vt:lpwstr>
  </property>
</Properties>
</file>